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E8" w:rsidRDefault="00E578DC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Открыт прием заявок на конкурс «Ты-инноватор»</w:t>
      </w:r>
    </w:p>
    <w:p w:rsidR="00BF4BE8" w:rsidRDefault="00BF4BE8">
      <w:pPr>
        <w:jc w:val="center"/>
        <w:rPr>
          <w:sz w:val="28"/>
        </w:rPr>
      </w:pP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В целях поощрения творческой активности талантливых молодых ученых</w:t>
      </w:r>
      <w:r>
        <w:rPr>
          <w:sz w:val="28"/>
        </w:rPr>
        <w:br/>
        <w:t>и инноваторов, добившихся высоких результатов в инновационной деятельности,</w:t>
      </w:r>
      <w:r>
        <w:rPr>
          <w:sz w:val="28"/>
        </w:rPr>
        <w:br/>
        <w:t xml:space="preserve">научных исследованиях комитетом до 29.08.2023 включительно осуществляется  прием заявок для участия в Конкурсе. «Ты-инноватор» (далее – Конкурс) в возрасте </w:t>
      </w:r>
      <w:r>
        <w:rPr>
          <w:sz w:val="28"/>
        </w:rPr>
        <w:br/>
        <w:t xml:space="preserve">от 18 до 35 лет. По итогам Конкурса в соответствии с постановлением Правительства Ростовской области от 22.12.2011 №261 </w:t>
      </w:r>
      <w:r>
        <w:rPr>
          <w:b/>
          <w:sz w:val="28"/>
        </w:rPr>
        <w:t>«О порядке и условиях присуждения именных премий Губернатора Ростовской области талантливым молодым ученым и инноваторам»</w:t>
      </w:r>
      <w:r>
        <w:rPr>
          <w:sz w:val="28"/>
        </w:rPr>
        <w:t xml:space="preserve"> 10 участникам-победителям  будут вручены именные премии Губернатора Ростовской области, каждая из которых составит 105,0 тыс. рублей.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В рамках конкурса предусмотрены следующие номинации: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b/>
          <w:sz w:val="28"/>
        </w:rPr>
        <w:t>«Цирфовая трансформация»</w:t>
      </w:r>
      <w:r>
        <w:rPr>
          <w:sz w:val="28"/>
        </w:rPr>
        <w:t xml:space="preserve"> – проекты в области цифровых, интеллектуальных производственных технологий, новых материалов и способов конструирования, создания систем обработки и хранения больших объёмов данных, машинного обучения и искусственного интеллекта, а также систем поиска, распознавания, обработки и хранения информации, цифровой безопасности, компьютерной графики и геймификации, робототехники и автономных транспортных средств, проекты для  предоставления услуг или продуктов</w:t>
      </w:r>
      <w:r>
        <w:rPr>
          <w:sz w:val="28"/>
        </w:rPr>
        <w:br/>
        <w:t>в электронном виде, использование современных технологий в цифровой экономике;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«Спортивные и медицинские технологии» – </w:t>
      </w:r>
      <w:r>
        <w:rPr>
          <w:sz w:val="28"/>
        </w:rPr>
        <w:t>проекты в сфере персонализированной медицины, высокотехнологичного здравоохранения</w:t>
      </w:r>
      <w:r>
        <w:rPr>
          <w:sz w:val="28"/>
        </w:rPr>
        <w:br/>
        <w:t xml:space="preserve">и здоровьесбережения, разработки оборудования, информационные технологии </w:t>
      </w:r>
      <w:r>
        <w:rPr>
          <w:sz w:val="28"/>
        </w:rPr>
        <w:br/>
        <w:t>в медицине, информационные  разработки в сфере здоровья и спорта;</w:t>
      </w:r>
    </w:p>
    <w:p w:rsidR="00BF4BE8" w:rsidRDefault="00664747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«Экология, сельскохозяйственные и энергоэффективные технологии»</w:t>
      </w:r>
      <w:r>
        <w:rPr>
          <w:sz w:val="28"/>
        </w:rPr>
        <w:t xml:space="preserve"> –проекты в сфере эффективного использования энергоресурсов и направленные</w:t>
      </w:r>
      <w:r>
        <w:rPr>
          <w:sz w:val="28"/>
        </w:rPr>
        <w:br/>
        <w:t>на опережающее развитие новых отраслевых направлений, повышения энергоэффективности нефтегазовой отрасли и электроэнергетики, сокращения энергопотребления объектами промышленности, проекты в сфере развития природоподобных технологий управления климатом и экосистемами, биотехнологии в сельском хозяйстве и промышленности, промышленная биотехнология, пищевые технологии, проекты в области высокопродуктивного</w:t>
      </w:r>
      <w:r>
        <w:rPr>
          <w:sz w:val="28"/>
        </w:rPr>
        <w:br/>
        <w:t>и экологически чистого агрохозяйства, хранения и эффективной переработки сельскохозяйственной продукции, создания безопасных, качественных</w:t>
      </w:r>
      <w:r>
        <w:rPr>
          <w:sz w:val="28"/>
        </w:rPr>
        <w:br/>
        <w:t>и функциональных продуктов питания;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b/>
          <w:sz w:val="28"/>
        </w:rPr>
        <w:t>«Транспорт</w:t>
      </w:r>
      <w:r>
        <w:rPr>
          <w:sz w:val="28"/>
        </w:rPr>
        <w:t xml:space="preserve"> </w:t>
      </w:r>
      <w:r>
        <w:rPr>
          <w:b/>
          <w:sz w:val="28"/>
        </w:rPr>
        <w:t xml:space="preserve">и космические технологии» - </w:t>
      </w:r>
      <w:r>
        <w:rPr>
          <w:sz w:val="28"/>
        </w:rPr>
        <w:t>проекты в сфере разработки навигационных и геоинформационных продуктов и услуг, космических технологий,</w:t>
      </w:r>
      <w:r>
        <w:rPr>
          <w:sz w:val="28"/>
        </w:rPr>
        <w:br/>
        <w:t>направленных на покорение космоса, интеллектуальных транспортных</w:t>
      </w:r>
      <w:r>
        <w:rPr>
          <w:sz w:val="28"/>
        </w:rPr>
        <w:br/>
        <w:t>и телекоммуникационных систем, проектов по созданию международных транспортно-логических систем, освоения космического и воздушного пространства, Мирового океана, Арктики и Антарктики;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«Энергетика и ядерные технологии» - </w:t>
      </w:r>
      <w:r>
        <w:rPr>
          <w:sz w:val="28"/>
        </w:rPr>
        <w:t xml:space="preserve">проекты в сфере перехода </w:t>
      </w:r>
      <w:r>
        <w:rPr>
          <w:sz w:val="28"/>
        </w:rPr>
        <w:br/>
        <w:t>к экологически чистой и ресурсосберегающей энергетике, в том числе ядерной,</w:t>
      </w:r>
      <w:r>
        <w:rPr>
          <w:sz w:val="28"/>
        </w:rPr>
        <w:br/>
        <w:t>повышения эффективности добычи и глубокой переработки углеводородного</w:t>
      </w:r>
      <w:r>
        <w:rPr>
          <w:sz w:val="28"/>
        </w:rPr>
        <w:br/>
      </w:r>
      <w:r>
        <w:rPr>
          <w:sz w:val="28"/>
        </w:rPr>
        <w:lastRenderedPageBreak/>
        <w:t>сырья, формирования новых источников, способов транспортировки и хранения</w:t>
      </w:r>
      <w:r>
        <w:rPr>
          <w:sz w:val="28"/>
        </w:rPr>
        <w:br/>
        <w:t>энергии.</w:t>
      </w:r>
    </w:p>
    <w:p w:rsidR="00BF4BE8" w:rsidRDefault="00664747">
      <w:pPr>
        <w:ind w:firstLine="708"/>
        <w:jc w:val="both"/>
        <w:rPr>
          <w:sz w:val="28"/>
        </w:rPr>
      </w:pPr>
      <w:r>
        <w:rPr>
          <w:sz w:val="28"/>
        </w:rPr>
        <w:t xml:space="preserve">Заявку в форме анкеты (приложения) необходимо отправить в адрес комитета на электронную почту </w:t>
      </w:r>
      <w:hyperlink r:id="rId6" w:history="1">
        <w:r>
          <w:rPr>
            <w:sz w:val="28"/>
          </w:rPr>
          <w:t>kmpro.r@donmolodoy.ru</w:t>
        </w:r>
      </w:hyperlink>
      <w:r>
        <w:rPr>
          <w:sz w:val="28"/>
        </w:rPr>
        <w:t xml:space="preserve"> указав в теме письма</w:t>
      </w:r>
      <w:r>
        <w:rPr>
          <w:sz w:val="28"/>
        </w:rPr>
        <w:br/>
        <w:t>«Ты –Инноватор». Заявки, поданные после 29.08.2023 рассмотрены не будут.</w:t>
      </w:r>
    </w:p>
    <w:p w:rsidR="00BF4BE8" w:rsidRDefault="00664747">
      <w:pPr>
        <w:ind w:firstLine="708"/>
        <w:jc w:val="both"/>
        <w:rPr>
          <w:sz w:val="28"/>
        </w:rPr>
      </w:pPr>
      <w:r>
        <w:rPr>
          <w:sz w:val="28"/>
        </w:rPr>
        <w:t>Ответственное лицо за проведение мероприятий и по вопросам подачи заявок: главный специалист отдела развития человеческого капитала и инфраструктуры молодежной политики Маренец Ирина Александровна, тел.: +7 (863) 244-23-48.</w:t>
      </w:r>
    </w:p>
    <w:p w:rsidR="00BF4BE8" w:rsidRDefault="00BF4BE8">
      <w:pPr>
        <w:ind w:firstLine="709"/>
        <w:jc w:val="both"/>
        <w:rPr>
          <w:sz w:val="28"/>
        </w:rPr>
      </w:pPr>
    </w:p>
    <w:tbl>
      <w:tblPr>
        <w:tblStyle w:val="aff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809"/>
        <w:gridCol w:w="7834"/>
      </w:tblGrid>
      <w:tr w:rsidR="00BF4B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E8" w:rsidRDefault="00664747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Приложения: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E8" w:rsidRDefault="00664747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1. Анкета участника регионального этапа Всероссийского мероприятия «Ты – инноватор» на 1 л. в 1 экз.;</w:t>
            </w:r>
          </w:p>
        </w:tc>
      </w:tr>
      <w:tr w:rsidR="00BF4BE8" w:rsidTr="00E578DC">
        <w:trPr>
          <w:trHeight w:val="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E8" w:rsidRDefault="00BF4BE8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E8" w:rsidRDefault="00664747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Порядок проведения отбора на 2 л. в 1 экз. </w:t>
            </w:r>
          </w:p>
        </w:tc>
      </w:tr>
    </w:tbl>
    <w:p w:rsidR="00BF4BE8" w:rsidRDefault="00BF4BE8">
      <w:pPr>
        <w:ind w:firstLine="709"/>
        <w:jc w:val="both"/>
        <w:rPr>
          <w:sz w:val="28"/>
        </w:rPr>
      </w:pPr>
    </w:p>
    <w:p w:rsidR="00BF4BE8" w:rsidRDefault="00BF4BE8">
      <w:pPr>
        <w:ind w:firstLine="709"/>
        <w:jc w:val="both"/>
        <w:rPr>
          <w:sz w:val="28"/>
        </w:rPr>
      </w:pPr>
    </w:p>
    <w:p w:rsidR="00BF4BE8" w:rsidRDefault="00BF4BE8">
      <w:pPr>
        <w:jc w:val="both"/>
        <w:rPr>
          <w:sz w:val="20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p w:rsidR="00BF4BE8" w:rsidRDefault="00BF4BE8">
      <w:pPr>
        <w:widowControl w:val="0"/>
        <w:rPr>
          <w:sz w:val="28"/>
        </w:rPr>
      </w:pPr>
    </w:p>
    <w:p w:rsidR="00BF4BE8" w:rsidRDefault="00BF4BE8">
      <w:pPr>
        <w:widowControl w:val="0"/>
        <w:jc w:val="right"/>
        <w:rPr>
          <w:sz w:val="28"/>
        </w:rPr>
      </w:pPr>
    </w:p>
    <w:p w:rsidR="00BF4BE8" w:rsidRDefault="00BF4BE8">
      <w:pPr>
        <w:widowControl w:val="0"/>
        <w:jc w:val="right"/>
        <w:rPr>
          <w:sz w:val="28"/>
        </w:rPr>
      </w:pPr>
    </w:p>
    <w:p w:rsidR="00BF4BE8" w:rsidRDefault="00BF4BE8">
      <w:pPr>
        <w:widowControl w:val="0"/>
        <w:jc w:val="right"/>
        <w:rPr>
          <w:sz w:val="28"/>
        </w:rPr>
      </w:pPr>
    </w:p>
    <w:p w:rsidR="00BF4BE8" w:rsidRDefault="00BF4BE8">
      <w:pPr>
        <w:widowControl w:val="0"/>
        <w:jc w:val="right"/>
        <w:rPr>
          <w:sz w:val="28"/>
        </w:rPr>
      </w:pPr>
    </w:p>
    <w:p w:rsidR="00BF4BE8" w:rsidRDefault="00BF4BE8">
      <w:pPr>
        <w:widowControl w:val="0"/>
        <w:jc w:val="right"/>
        <w:rPr>
          <w:sz w:val="28"/>
        </w:rPr>
      </w:pPr>
    </w:p>
    <w:p w:rsidR="00BF4BE8" w:rsidRDefault="00BF4BE8">
      <w:pPr>
        <w:widowControl w:val="0"/>
        <w:jc w:val="right"/>
        <w:rPr>
          <w:sz w:val="28"/>
        </w:rPr>
      </w:pPr>
    </w:p>
    <w:p w:rsidR="00BF4BE8" w:rsidRDefault="00BF4BE8">
      <w:pPr>
        <w:widowControl w:val="0"/>
        <w:jc w:val="right"/>
        <w:rPr>
          <w:sz w:val="28"/>
        </w:rPr>
      </w:pPr>
    </w:p>
    <w:p w:rsidR="00E578DC" w:rsidRDefault="00E578DC">
      <w:pPr>
        <w:rPr>
          <w:sz w:val="28"/>
        </w:rPr>
      </w:pPr>
      <w:r>
        <w:rPr>
          <w:sz w:val="28"/>
        </w:rPr>
        <w:br w:type="page"/>
      </w:r>
    </w:p>
    <w:p w:rsidR="00BF4BE8" w:rsidRDefault="00664747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BF4BE8" w:rsidRDefault="00664747">
      <w:pPr>
        <w:widowControl w:val="0"/>
        <w:jc w:val="center"/>
        <w:rPr>
          <w:sz w:val="28"/>
        </w:rPr>
      </w:pPr>
      <w:r>
        <w:rPr>
          <w:sz w:val="28"/>
        </w:rPr>
        <w:t>АНКЕТА</w:t>
      </w:r>
    </w:p>
    <w:p w:rsidR="00BF4BE8" w:rsidRDefault="00664747">
      <w:pPr>
        <w:widowControl w:val="0"/>
        <w:jc w:val="center"/>
        <w:rPr>
          <w:sz w:val="28"/>
        </w:rPr>
      </w:pPr>
      <w:r>
        <w:rPr>
          <w:sz w:val="28"/>
        </w:rPr>
        <w:t>участника регионального этапа</w:t>
      </w:r>
    </w:p>
    <w:p w:rsidR="00BF4BE8" w:rsidRDefault="00664747">
      <w:pPr>
        <w:widowControl w:val="0"/>
        <w:jc w:val="center"/>
        <w:rPr>
          <w:sz w:val="28"/>
        </w:rPr>
      </w:pPr>
      <w:r>
        <w:rPr>
          <w:sz w:val="28"/>
        </w:rPr>
        <w:t>Всероссийского мероприятия «Ты – инноватор»</w:t>
      </w:r>
    </w:p>
    <w:p w:rsidR="00BF4BE8" w:rsidRDefault="00BF4BE8">
      <w:pPr>
        <w:widowControl w:val="0"/>
        <w:jc w:val="center"/>
        <w:rPr>
          <w:sz w:val="28"/>
        </w:rPr>
      </w:pP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Дата рождения в формате 00.00.0000 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Мобильный телефон 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Муниципальное образование Ростовской области (город или район) 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Высшее учебное заведение 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Е-mail 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Название проекта 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Краткое описание проекта (описание разработки, ее принципиальная новизна, стадия разработки) 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Номинация 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Состояние проекта на данный момент (что уже сделано по проекту) 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Описание возможности коммерциализации проекта______________________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Преимущества проекта перед другими схожими проектами 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Этапы реализации проекта (описание основных этапов реализации проекта, начиная с текущей стадии) 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Описание области применения 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Риски 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Дополнительные сведения ____________________________________________</w:t>
      </w:r>
    </w:p>
    <w:p w:rsidR="00BF4BE8" w:rsidRDefault="00664747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BF4BE8" w:rsidRDefault="00BF4BE8">
      <w:pPr>
        <w:jc w:val="right"/>
        <w:rPr>
          <w:sz w:val="28"/>
        </w:rPr>
      </w:pPr>
    </w:p>
    <w:p w:rsidR="00BF4BE8" w:rsidRDefault="00664747">
      <w:pPr>
        <w:jc w:val="right"/>
        <w:rPr>
          <w:sz w:val="28"/>
        </w:rPr>
      </w:pPr>
      <w:r>
        <w:rPr>
          <w:sz w:val="28"/>
        </w:rPr>
        <w:t>Приложение 2</w:t>
      </w:r>
    </w:p>
    <w:p w:rsidR="00BF4BE8" w:rsidRDefault="00664747">
      <w:pPr>
        <w:widowControl w:val="0"/>
        <w:jc w:val="center"/>
        <w:rPr>
          <w:sz w:val="28"/>
        </w:rPr>
      </w:pPr>
      <w:r>
        <w:rPr>
          <w:sz w:val="28"/>
        </w:rPr>
        <w:t>Порядок проведения отбора</w:t>
      </w:r>
    </w:p>
    <w:p w:rsidR="00BF4BE8" w:rsidRDefault="00BF4BE8">
      <w:pPr>
        <w:widowControl w:val="0"/>
        <w:jc w:val="center"/>
        <w:rPr>
          <w:sz w:val="28"/>
        </w:rPr>
      </w:pP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 xml:space="preserve">Премии присуждаются талантливым молодым ученым и инноваторам </w:t>
      </w:r>
      <w:r>
        <w:rPr>
          <w:sz w:val="28"/>
        </w:rPr>
        <w:br/>
        <w:t>в возрасте до 35 лет включительно, постоянно проживающим на территории Ростовской области, принявшим участие в региональном этапе Всероссийского мероприятия «Ты – инноватор» (далее – Мероприятие) и набравшим наибольшее количество баллов.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 xml:space="preserve">Заявки для участия в Мероприятии подаются потенциальными участниками в форме анкеты за месяц до его проведения в адрес комитета по молодежной политике Ростовской области по форме согласно приложению. Информация о сроках и месте проведения Мероприятия публикуется в средствах массовой информации за 2 месяца до проведения мероприятия. 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 xml:space="preserve">Оценка проектов, заявленных к участию в Мероприятии, проводится Региональным экспертным советом в два этапа: 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 xml:space="preserve">I этап – оценка проекта по критериям (на I этапе принимают участие все заявленные проекты); 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pacing w:val="-4"/>
          <w:sz w:val="28"/>
        </w:rPr>
        <w:t>II этап – оценка презентации проекта (на II этапе оценивается 1/3 от общего</w:t>
      </w:r>
      <w:r>
        <w:rPr>
          <w:sz w:val="28"/>
        </w:rPr>
        <w:t xml:space="preserve"> числа проектов, набравших наибольшее число баллов на I этапе). 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2.3. На I этапе оценка проекта проводится по следующим критериям: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научно-техническая новизна представляемого проекта;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наличие правовой защиты проекта;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наличие опыта реализации проектов заявителем;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вклад молодого специалиста в разработку проекта;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наличие команды проекта;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качество описания проекта;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оценка сложности внедрения инновационной разработки;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стадия развития проекта;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наличие новых технических свойств;</w:t>
      </w:r>
    </w:p>
    <w:p w:rsidR="00BF4BE8" w:rsidRDefault="00664747">
      <w:pPr>
        <w:ind w:firstLine="709"/>
        <w:jc w:val="both"/>
        <w:rPr>
          <w:sz w:val="28"/>
        </w:rPr>
      </w:pPr>
      <w:r>
        <w:rPr>
          <w:sz w:val="28"/>
        </w:rPr>
        <w:t>масштабируемость и тиражируемость проекта.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 В ходе презентации эксперты заслушивают 7-минутное сообщение участника отбора и в течение 10 минут задают вопросы. </w:t>
      </w:r>
    </w:p>
    <w:p w:rsidR="00BF4BE8" w:rsidRDefault="00664747">
      <w:pPr>
        <w:pStyle w:val="ab"/>
        <w:widowControl w:val="0"/>
        <w:ind w:left="0" w:firstLine="709"/>
        <w:jc w:val="both"/>
        <w:rPr>
          <w:b/>
          <w:sz w:val="28"/>
        </w:rPr>
      </w:pPr>
      <w:r>
        <w:rPr>
          <w:b/>
          <w:sz w:val="28"/>
        </w:rPr>
        <w:t>В ходе презентации участник отбора должен рассказать: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z w:val="28"/>
        </w:rPr>
        <w:t>1. О технологии, которая лежит в основе предлагаемого проекта.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2. О рыночных перспективах инновации. 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z w:val="28"/>
        </w:rPr>
        <w:t>3. О стратегии ее коммерциализации.</w:t>
      </w:r>
    </w:p>
    <w:p w:rsidR="00BF4BE8" w:rsidRDefault="00664747">
      <w:pPr>
        <w:pStyle w:val="ab"/>
        <w:widowControl w:val="0"/>
        <w:tabs>
          <w:tab w:val="left" w:pos="723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В презентации должны быть освещены:</w:t>
      </w:r>
    </w:p>
    <w:p w:rsidR="00BF4BE8" w:rsidRDefault="00664747">
      <w:pPr>
        <w:pStyle w:val="ab"/>
        <w:widowControl w:val="0"/>
        <w:tabs>
          <w:tab w:val="left" w:pos="723"/>
        </w:tabs>
        <w:ind w:left="0" w:firstLine="709"/>
        <w:jc w:val="both"/>
        <w:rPr>
          <w:sz w:val="28"/>
        </w:rPr>
      </w:pPr>
      <w:r>
        <w:rPr>
          <w:sz w:val="28"/>
        </w:rPr>
        <w:t>1. Техническая сторона проекта.</w:t>
      </w:r>
    </w:p>
    <w:p w:rsidR="00BF4BE8" w:rsidRDefault="00664747">
      <w:pPr>
        <w:pStyle w:val="ab"/>
        <w:widowControl w:val="0"/>
        <w:tabs>
          <w:tab w:val="left" w:pos="723"/>
        </w:tabs>
        <w:ind w:left="0" w:firstLine="709"/>
        <w:jc w:val="both"/>
        <w:rPr>
          <w:sz w:val="28"/>
        </w:rPr>
      </w:pPr>
      <w:r>
        <w:rPr>
          <w:sz w:val="28"/>
        </w:rPr>
        <w:t>2. Экономическое обоснование.</w:t>
      </w:r>
    </w:p>
    <w:p w:rsidR="00BF4BE8" w:rsidRDefault="00664747">
      <w:pPr>
        <w:pStyle w:val="ab"/>
        <w:widowControl w:val="0"/>
        <w:tabs>
          <w:tab w:val="left" w:pos="723"/>
        </w:tabs>
        <w:ind w:left="0" w:firstLine="709"/>
        <w:jc w:val="both"/>
        <w:rPr>
          <w:sz w:val="28"/>
        </w:rPr>
      </w:pPr>
      <w:r>
        <w:rPr>
          <w:sz w:val="28"/>
        </w:rPr>
        <w:t>3. Основные выполненные работы.</w:t>
      </w:r>
    </w:p>
    <w:p w:rsidR="00BF4BE8" w:rsidRDefault="00664747">
      <w:pPr>
        <w:pStyle w:val="ab"/>
        <w:widowControl w:val="0"/>
        <w:tabs>
          <w:tab w:val="left" w:pos="723"/>
        </w:tabs>
        <w:ind w:left="0" w:firstLine="709"/>
        <w:jc w:val="both"/>
        <w:rPr>
          <w:sz w:val="28"/>
        </w:rPr>
      </w:pPr>
      <w:r>
        <w:rPr>
          <w:sz w:val="28"/>
        </w:rPr>
        <w:t>4. План предстоящих мероприятий.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Каждому члену Регионального экспертного совета выдается бланк оценки, состоящий из двух частей: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z w:val="28"/>
        </w:rPr>
        <w:t>часть первая – оценка содержания проекта;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z w:val="28"/>
        </w:rPr>
        <w:t>часть вторая – оценка презентации.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z w:val="28"/>
        </w:rPr>
        <w:t>Эксперт оценивает проект по 10-балльной системе по каждому из критериев оценки проекта или его презентации. Затем баллы суммируются и составляется рейтинг проектов. Проекты, набравшие максимальное количество баллов, объявляются победителями.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После оценки содержания проекта и его презентации суммируется общее количество баллов, полученных автором проекта от всех экспертов, и </w:t>
      </w:r>
      <w:r>
        <w:rPr>
          <w:spacing w:val="-2"/>
          <w:sz w:val="28"/>
        </w:rPr>
        <w:t>составляется рейтинг. После проведения всех презентаций проводится заседание</w:t>
      </w:r>
      <w:r>
        <w:rPr>
          <w:sz w:val="28"/>
        </w:rPr>
        <w:t xml:space="preserve"> Регионального экспертного совета, на котором определяются победители на основании рейтинга. При равенстве баллов преимущество имеет проект, набравший больше баллов за первую часть. </w:t>
      </w:r>
    </w:p>
    <w:p w:rsidR="00BF4BE8" w:rsidRDefault="00664747">
      <w:pPr>
        <w:pStyle w:val="ab"/>
        <w:widowControl w:val="0"/>
        <w:ind w:left="0" w:firstLine="709"/>
        <w:jc w:val="both"/>
        <w:rPr>
          <w:sz w:val="28"/>
        </w:rPr>
      </w:pPr>
      <w:r>
        <w:rPr>
          <w:spacing w:val="-4"/>
          <w:sz w:val="28"/>
        </w:rPr>
        <w:t>Решение Регионального экспертного совета оформляется протоколом,</w:t>
      </w:r>
      <w:r>
        <w:rPr>
          <w:sz w:val="28"/>
        </w:rPr>
        <w:t xml:space="preserve"> подписываемым всеми членами Регионального экспертного совета. </w:t>
      </w:r>
    </w:p>
    <w:p w:rsidR="00BF4BE8" w:rsidRDefault="00BF4BE8">
      <w:pPr>
        <w:pStyle w:val="ab"/>
        <w:widowControl w:val="0"/>
        <w:ind w:left="0" w:firstLine="709"/>
        <w:jc w:val="both"/>
        <w:rPr>
          <w:sz w:val="28"/>
        </w:rPr>
      </w:pPr>
    </w:p>
    <w:p w:rsidR="00BF4BE8" w:rsidRDefault="00BF4BE8">
      <w:pPr>
        <w:widowControl w:val="0"/>
        <w:jc w:val="both"/>
        <w:rPr>
          <w:sz w:val="28"/>
        </w:rPr>
      </w:pPr>
    </w:p>
    <w:p w:rsidR="00BF4BE8" w:rsidRDefault="00BF4BE8">
      <w:pPr>
        <w:tabs>
          <w:tab w:val="left" w:pos="4320"/>
          <w:tab w:val="center" w:pos="4875"/>
        </w:tabs>
        <w:jc w:val="both"/>
        <w:rPr>
          <w:sz w:val="22"/>
        </w:rPr>
      </w:pPr>
    </w:p>
    <w:sectPr w:rsidR="00BF4BE8">
      <w:headerReference w:type="default" r:id="rId7"/>
      <w:pgSz w:w="11906" w:h="16838"/>
      <w:pgMar w:top="1134" w:right="567" w:bottom="1134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DF" w:rsidRDefault="00D119DF">
      <w:r>
        <w:separator/>
      </w:r>
    </w:p>
  </w:endnote>
  <w:endnote w:type="continuationSeparator" w:id="0">
    <w:p w:rsidR="00D119DF" w:rsidRDefault="00D1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DF" w:rsidRDefault="00D119DF">
      <w:r>
        <w:separator/>
      </w:r>
    </w:p>
  </w:footnote>
  <w:footnote w:type="continuationSeparator" w:id="0">
    <w:p w:rsidR="00D119DF" w:rsidRDefault="00D1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E8" w:rsidRDefault="0066474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A027D">
      <w:rPr>
        <w:noProof/>
      </w:rPr>
      <w:t>2</w:t>
    </w:r>
    <w:r>
      <w:fldChar w:fldCharType="end"/>
    </w:r>
  </w:p>
  <w:p w:rsidR="00BF4BE8" w:rsidRDefault="00BF4BE8">
    <w:pPr>
      <w:pStyle w:val="af6"/>
      <w:jc w:val="center"/>
    </w:pPr>
  </w:p>
  <w:p w:rsidR="00BF4BE8" w:rsidRDefault="00BF4BE8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E8"/>
    <w:rsid w:val="00664747"/>
    <w:rsid w:val="00BF4BE8"/>
    <w:rsid w:val="00D119DF"/>
    <w:rsid w:val="00DA027D"/>
    <w:rsid w:val="00E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5CCA-7919-48E9-AF4E-9C727C1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1"/>
    <w:uiPriority w:val="9"/>
    <w:qFormat/>
    <w:pPr>
      <w:widowControl w:val="0"/>
      <w:ind w:left="270"/>
      <w:outlineLvl w:val="1"/>
    </w:pPr>
    <w:rPr>
      <w:sz w:val="2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a3">
    <w:name w:val="footer"/>
    <w:basedOn w:val="a"/>
    <w:link w:val="12"/>
    <w:pPr>
      <w:tabs>
        <w:tab w:val="right" w:pos="9923"/>
      </w:tabs>
      <w:jc w:val="both"/>
    </w:pPr>
    <w:rPr>
      <w:sz w:val="12"/>
    </w:rPr>
  </w:style>
  <w:style w:type="character" w:customStyle="1" w:styleId="12">
    <w:name w:val="Нижний колонтитул Знак1"/>
    <w:basedOn w:val="1"/>
    <w:link w:val="a3"/>
    <w:rPr>
      <w:rFonts w:ascii="Times New Roman" w:hAnsi="Times New Roman"/>
      <w:color w:val="000000"/>
      <w:sz w:val="1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4">
    <w:name w:val="Основной текст Знак"/>
    <w:basedOn w:val="13"/>
    <w:link w:val="a5"/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Pr>
      <w:rFonts w:ascii="Times New Roman" w:hAnsi="Times New Roman"/>
      <w:sz w:val="20"/>
    </w:rPr>
  </w:style>
  <w:style w:type="paragraph" w:customStyle="1" w:styleId="a6">
    <w:name w:val="Колонтитул"/>
    <w:basedOn w:val="a"/>
    <w:link w:val="a7"/>
  </w:style>
  <w:style w:type="character" w:customStyle="1" w:styleId="a7">
    <w:name w:val="Колонтитул"/>
    <w:basedOn w:val="1"/>
    <w:link w:val="a6"/>
    <w:rPr>
      <w:rFonts w:ascii="Times New Roman" w:hAnsi="Times New Roman"/>
      <w:color w:val="000000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14"/>
    <w:link w:val="a8"/>
    <w:rPr>
      <w:rFonts w:ascii="Times New Roman" w:hAnsi="Times New Roman"/>
      <w:color w:val="000000"/>
      <w:sz w:val="20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Times New Roman" w:hAnsi="Times New Roman"/>
      <w:color w:val="000000"/>
      <w:sz w:val="24"/>
    </w:rPr>
  </w:style>
  <w:style w:type="paragraph" w:styleId="a9">
    <w:name w:val="Body Text"/>
    <w:basedOn w:val="a"/>
    <w:link w:val="14"/>
    <w:pPr>
      <w:widowControl w:val="0"/>
    </w:pPr>
    <w:rPr>
      <w:sz w:val="20"/>
    </w:rPr>
  </w:style>
  <w:style w:type="character" w:customStyle="1" w:styleId="14">
    <w:name w:val="Основной текст Знак1"/>
    <w:basedOn w:val="1"/>
    <w:link w:val="a9"/>
    <w:rPr>
      <w:rFonts w:ascii="Times New Roman" w:hAnsi="Times New Roman"/>
      <w:color w:val="000000"/>
      <w:sz w:val="20"/>
    </w:rPr>
  </w:style>
  <w:style w:type="paragraph" w:customStyle="1" w:styleId="UnresolvedMention">
    <w:name w:val="Unresolved Mention"/>
    <w:basedOn w:val="13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ad">
    <w:name w:val="Знак Знак Знак Знак"/>
    <w:basedOn w:val="a"/>
    <w:link w:val="ae"/>
    <w:pPr>
      <w:widowControl w:val="0"/>
      <w:spacing w:after="160" w:line="240" w:lineRule="exact"/>
      <w:jc w:val="right"/>
    </w:pPr>
    <w:rPr>
      <w:sz w:val="20"/>
    </w:rPr>
  </w:style>
  <w:style w:type="character" w:customStyle="1" w:styleId="ae">
    <w:name w:val="Знак Знак Знак Знак"/>
    <w:basedOn w:val="1"/>
    <w:link w:val="ad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">
    <w:name w:val="caption"/>
    <w:basedOn w:val="a"/>
    <w:link w:val="af0"/>
    <w:pPr>
      <w:spacing w:before="120" w:after="120"/>
    </w:pPr>
    <w:rPr>
      <w:i/>
    </w:rPr>
  </w:style>
  <w:style w:type="character" w:customStyle="1" w:styleId="af0">
    <w:name w:val="Название объекта Знак"/>
    <w:basedOn w:val="1"/>
    <w:link w:val="af"/>
    <w:rPr>
      <w:rFonts w:ascii="Times New Roman" w:hAnsi="Times New Roman"/>
      <w:i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5">
    <w:name w:val="Заголовок1"/>
    <w:basedOn w:val="1"/>
    <w:rPr>
      <w:rFonts w:ascii="Liberation Sans" w:hAnsi="Liberation Sans"/>
      <w:color w:val="000000"/>
      <w:sz w:val="28"/>
    </w:rPr>
  </w:style>
  <w:style w:type="paragraph" w:customStyle="1" w:styleId="16">
    <w:name w:val="Гиперссылка1"/>
    <w:link w:val="af3"/>
    <w:rPr>
      <w:color w:val="0000FF"/>
      <w:u w:val="single"/>
    </w:rPr>
  </w:style>
  <w:style w:type="character" w:styleId="af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af4">
    <w:name w:val="Нижний колонтитул Знак"/>
    <w:basedOn w:val="13"/>
    <w:link w:val="af5"/>
    <w:rPr>
      <w:rFonts w:ascii="Times New Roman" w:hAnsi="Times New Roman"/>
      <w:sz w:val="12"/>
    </w:rPr>
  </w:style>
  <w:style w:type="character" w:customStyle="1" w:styleId="af5">
    <w:name w:val="Нижний колонтитул Знак"/>
    <w:basedOn w:val="a0"/>
    <w:link w:val="af4"/>
    <w:rPr>
      <w:rFonts w:ascii="Times New Roman" w:hAnsi="Times New Roman"/>
      <w:sz w:val="1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header"/>
    <w:basedOn w:val="a"/>
    <w:link w:val="19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1"/>
    <w:link w:val="af6"/>
    <w:rPr>
      <w:rFonts w:ascii="Times New Roman" w:hAnsi="Times New Roman"/>
      <w:color w:val="000000"/>
      <w:sz w:val="24"/>
    </w:rPr>
  </w:style>
  <w:style w:type="paragraph" w:customStyle="1" w:styleId="23">
    <w:name w:val="Заголовок 2 Знак"/>
    <w:basedOn w:val="13"/>
    <w:link w:val="24"/>
    <w:rPr>
      <w:rFonts w:ascii="Times New Roman" w:hAnsi="Times New Roman"/>
    </w:rPr>
  </w:style>
  <w:style w:type="character" w:customStyle="1" w:styleId="24">
    <w:name w:val="Заголовок 2 Знак"/>
    <w:basedOn w:val="a0"/>
    <w:link w:val="23"/>
    <w:rPr>
      <w:rFonts w:ascii="Times New Roman" w:hAnsi="Times New Roman"/>
    </w:rPr>
  </w:style>
  <w:style w:type="paragraph" w:customStyle="1" w:styleId="1a">
    <w:name w:val="Обычный1"/>
    <w:link w:val="1b"/>
    <w:rPr>
      <w:rFonts w:ascii="Arial" w:hAnsi="Arial"/>
      <w:sz w:val="24"/>
    </w:rPr>
  </w:style>
  <w:style w:type="character" w:customStyle="1" w:styleId="1b">
    <w:name w:val="Обычный1"/>
    <w:link w:val="1a"/>
    <w:rPr>
      <w:rFonts w:ascii="Arial" w:hAnsi="Arial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7">
    <w:name w:val="Верхний колонтитул Знак"/>
    <w:basedOn w:val="13"/>
    <w:link w:val="af8"/>
    <w:rPr>
      <w:rFonts w:ascii="Times New Roman" w:hAnsi="Times New Roman"/>
      <w:sz w:val="24"/>
    </w:rPr>
  </w:style>
  <w:style w:type="character" w:customStyle="1" w:styleId="af8">
    <w:name w:val="Верхний колонтитул Знак"/>
    <w:basedOn w:val="a0"/>
    <w:link w:val="af7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color w:val="000000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b">
    <w:name w:val="index heading"/>
    <w:basedOn w:val="a"/>
    <w:link w:val="afc"/>
  </w:style>
  <w:style w:type="character" w:customStyle="1" w:styleId="afc">
    <w:name w:val="Указатель Знак"/>
    <w:basedOn w:val="1"/>
    <w:link w:val="afb"/>
    <w:rPr>
      <w:rFonts w:ascii="Times New Roman" w:hAnsi="Times New Roman"/>
      <w:color w:val="000000"/>
      <w:sz w:val="24"/>
    </w:rPr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Pr>
      <w:rFonts w:ascii="Times New Roman" w:hAnsi="Times New Roman"/>
      <w:color w:val="000000"/>
      <w:sz w:val="22"/>
    </w:rPr>
  </w:style>
  <w:style w:type="table" w:customStyle="1" w:styleId="1c">
    <w:name w:val="Сетка таблицы1"/>
    <w:basedOn w:val="a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pro.r@donmolodo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</cp:lastModifiedBy>
  <cp:revision>2</cp:revision>
  <dcterms:created xsi:type="dcterms:W3CDTF">2023-07-05T13:39:00Z</dcterms:created>
  <dcterms:modified xsi:type="dcterms:W3CDTF">2023-07-05T13:39:00Z</dcterms:modified>
</cp:coreProperties>
</file>